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BinSchSiV — Zuwiderhandlungen</w:t>
      </w:r>
    </w:p>
    <w:p>
      <w:r>
        <w:rPr>
          <w:color w:val="555555"/>
          <w:sz w:val="18"/>
        </w:rPr>
        <w:t xml:space="preserve">Verordnung zur Sicherstellung des Binnenschiffsverkehrs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vorsätzlich oder fahrlässig</w:t>
      </w:r>
    </w:p>
    <w:p>
      <w:pPr>
        <w:ind w:left="420"/>
      </w:pPr>
      <w:r>
        <w:t xml:space="preserve">1. eine Meldung</w:t>
      </w:r>
    </w:p>
    <w:p>
      <w:pPr>
        <w:ind w:left="780"/>
      </w:pPr>
      <w:r>
        <w:t xml:space="preserve">a) nach den §§ 1 und 2 Abs. 1 in Verbindung mit einer auf Grund des § 3 erlassenen Rechtsverordnung oder</w:t>
      </w:r>
    </w:p>
    <w:p>
      <w:pPr>
        <w:ind w:left="780"/>
      </w:pPr>
      <w:r>
        <w:t xml:space="preserve">b) entgegen einer vollziehbaren Verpflichtung nach § 2 Abs. 3 oder § 4 Abs. 1 oder 2</w:t>
      </w:r>
    </w:p>
    <w:p>
      <w:pPr>
        <w:ind w:left="420"/>
      </w:pPr>
      <w:r>
        <w:t xml:space="preserve">nicht, nicht richtig, nicht vollständig oder nicht rechtzeitig erstattet,</w:t>
      </w:r>
    </w:p>
    <w:p>
      <w:pPr>
        <w:ind w:left="420"/>
      </w:pPr>
      <w:r>
        <w:t xml:space="preserve">2. entgegen § 2 Abs. 2 Satz 2 die Meldebescheinigung an Bord nicht mitführt oder sie zuständigen Personen zur Prüfung nicht aushändigt,</w:t>
      </w:r>
    </w:p>
    <w:p>
      <w:pPr>
        <w:ind w:left="420"/>
      </w:pPr>
      <w:r>
        <w:t xml:space="preserve">3. entgegen einer vollziehbaren Anordnung nach § 5 Abs. 1 Satz 1 eine Fahrt ohne Erlaubnis durchführt oder eine vollziehbare Auflage nach § 6 Abs. 3 Satz 2 nicht erfüllt,</w:t>
      </w:r>
    </w:p>
    <w:p>
      <w:pPr>
        <w:ind w:left="420"/>
      </w:pPr>
      <w:r>
        <w:t xml:space="preserve">4. entgegen § 6 Abs. 4 Satz 2 die Bescheinigung über die Erlaubnis an Bord nicht mitführt oder zuständigen Personen zur Prüfung nicht aushändigt oder</w:t>
      </w:r>
    </w:p>
    <w:p>
      <w:pPr>
        <w:ind w:left="420"/>
      </w:pPr>
      <w:r>
        <w:t xml:space="preserve">5. einer vollziehbaren Verpflichtung</w:t>
      </w:r>
    </w:p>
    <w:p>
      <w:pPr>
        <w:ind w:left="780"/>
      </w:pPr>
      <w:r>
        <w:t xml:space="preserve">a) nach § 8 Abs. 1 über die Einhaltung einer bestimmten Reihenfolge oder einer bestimmten Lade- oder Löschfrist oder</w:t>
      </w:r>
    </w:p>
    <w:p>
      <w:pPr>
        <w:ind w:left="780"/>
      </w:pPr>
      <w:r>
        <w:t xml:space="preserve">b) nach § 8 Abs. 2 über die Benutzung eines bestimmten Platzes oder über die Einhaltung einer bestimmten Höchstliegezeit</w:t>
      </w:r>
    </w:p>
    <w:p>
      <w:pPr>
        <w:ind w:left="420"/>
      </w:pPr>
      <w:r>
        <w:t xml:space="preserve">nicht nachkommt,</w:t>
      </w:r>
    </w:p>
    <w:p>
      <w:r>
        <w:t xml:space="preserve">begeht eine Zuwiderhandlung im Sinne des § 26 Nr. 1 des Verkehrssicherstellungsgesetzes, die nach dem Wirtschaftsstrafgesetz 1954 in der Fassung der Bekanntmachung vom 3. Juni 1975 (BGBl. I S. 1313) geahndet wird.</w:t>
      </w:r>
    </w:p>
    <w:p>
      <w:r>
        <w:t xml:space="preserve">(2) Zuständige Verwaltungsbehörde im Sinne des § 29 Nr. 2 des Verkehrssicherstellungsgesetzes ist in den Fällen des Absatzes 1 Nr. 1 Buchstabe b, soweit § 4 Abs. 2 anzuwenden ist, und Nummer 5 die Landesbehörde, die den Verwaltungsakt erlassen hat, im Übrigen die Generaldirektion Wasserstraßen und Schifffahrt.</w:t>
      </w:r>
    </w:p>
    <w:p>
      <w:r>
        <w:rPr>
          <w:color w:val="555555"/>
          <w:sz w:val="17"/>
        </w:rPr>
        <w:t xml:space="preserve">Zitiervorschlag: § 10 BinSchSiV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https://recht.nulegal.eu/gesetze/BinSchSiV/10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