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BinSchPersV — Aussetzung ausländischer Unionspatente</w:t>
      </w:r>
    </w:p>
    <w:p>
      <w:r>
        <w:rPr>
          <w:color w:val="555555"/>
          <w:sz w:val="18"/>
        </w:rPr>
        <w:t xml:space="preserve">Binnenschiffspersonalverordnung</w:t>
      </w:r>
    </w:p>
    <w:p>
      <w:r>
        <w:rPr>
          <w:color w:val="555555"/>
          <w:sz w:val="18"/>
        </w:rPr>
        <w:t xml:space="preserve">Stand: 07.12.2021 (konsolidierte Textfassung, kein amtliches Inkrafttretensdatum)</w:t>
      </w:r>
    </w:p>
    <w:p>
      <w:r>
        <w:t xml:space="preserve">(1) Die zuständige Behörde kann die Gültigkeit eines von der zuständigen Behörde eines anderen Mitgliedstaates der Europäischen Union erteilten Unionspatentes für einen bestimmten Zeitraum aussetzen, soweit dies aus Gründen der Sicherheit des Schiffsverkehrs erforderlich ist. Satz 1 gilt entsprechend für Befähigungszeugnisse für Schiffsführer eines Staates, der nicht der Europäischen Union angehört, soweit das Zeugnis nach der Richtlinie (EU) 2017/2397 von der Kommission der Europäischen Union anerkannt worden ist. § 91 Absatz 1 Satz 2 gilt entsprechend.</w:t>
      </w:r>
    </w:p>
    <w:p>
      <w:r>
        <w:t xml:space="preserve">(2) Im Falle des Absatzes 1 ändert die zuständige Behörde den Status des entsprechenden Befähigungszeugnisses im betroffenen Register. Liegt das Zeugnis der Behörde vor, übersendet sie es unverzüglich an die ausstellende ausländische Behörde.</w:t>
      </w:r>
    </w:p>
    <w:p>
      <w:r>
        <w:rPr>
          <w:color w:val="555555"/>
          <w:sz w:val="17"/>
        </w:rPr>
        <w:t xml:space="preserve">Zitiervorschlag: § 92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