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BinSchPersV — Gebühren und Auslagen</w:t>
      </w:r>
    </w:p>
    <w:p>
      <w:r>
        <w:rPr>
          <w:color w:val="555555"/>
          <w:sz w:val="18"/>
        </w:rPr>
        <w:t xml:space="preserve">Binnenschiffspersonalverordnung</w:t>
      </w:r>
    </w:p>
    <w:p>
      <w:r>
        <w:rPr>
          <w:color w:val="555555"/>
          <w:sz w:val="18"/>
        </w:rPr>
        <w:t xml:space="preserve">Stand: 07.12.2021 (konsolidierte Textfassung, kein amtliches Inkrafttretensdatum)</w:t>
      </w:r>
    </w:p>
    <w:p>
      <w:r>
        <w:t xml:space="preserve">Die Gebühren und Auslagen für individuell zurechenbare öffentliche Leistungen nach dieser Verordnung bemessen sich nach der BMVI-Wasserstraßen und Schifffahrt Besonderen Gebührenverordnung vom 28. Oktober 2021 (BGBl. I S. 4744) in der jeweils geltenden Fassung.</w:t>
      </w:r>
    </w:p>
    <w:p>
      <w:r>
        <w:rPr>
          <w:color w:val="555555"/>
          <w:sz w:val="17"/>
        </w:rPr>
        <w:t xml:space="preserve">Zitiervorschlag: § 8 BinSchPersV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https://recht.nulegal.eu/gesetze/BinSchPersV/8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