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52 BinSchPersV — Durchführung der Prüfungen</w:t>
      </w:r>
    </w:p>
    <w:p>
      <w:r>
        <w:rPr>
          <w:color w:val="555555"/>
          <w:sz w:val="18"/>
        </w:rPr>
        <w:t xml:space="preserve">Binnenschiffspersonalverordnung</w:t>
      </w:r>
    </w:p>
    <w:p>
      <w:r>
        <w:rPr>
          <w:color w:val="555555"/>
          <w:sz w:val="18"/>
        </w:rPr>
        <w:t xml:space="preserve">Stand: 01.10.2022 (konsolidierte Textfassung, kein amtliches Inkrafttretensdatum)</w:t>
      </w:r>
    </w:p>
    <w:p>
      <w:r>
        <w:t xml:space="preserve">Die nach diesem Abschnitt für den Erwerb von Befähigungszeugnissen vorgeschriebenen Prüfungen sind im Rahmen des zugelassenen Lehrgangs durch den Anbieter abzunehmen.</w:t>
      </w:r>
    </w:p>
    <w:p>
      <w:r>
        <w:rPr>
          <w:color w:val="555555"/>
          <w:sz w:val="17"/>
        </w:rPr>
        <w:t xml:space="preserve">Zitiervorschlag: § 52 BinSchPersV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https://recht.nulegal.eu/gesetze/BinSchPersV/52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52 BinSchPersV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