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BinSchPersV — Bootsleute</w:t>
      </w:r>
    </w:p>
    <w:p>
      <w:r>
        <w:rPr>
          <w:color w:val="555555"/>
          <w:sz w:val="18"/>
        </w:rPr>
        <w:t xml:space="preserve">Binnenschiffspersonalverordnung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Wer ein Unionsbefähigungszeugnis als Bootsmann oder Bootsfrau erwerben will, muss</w:t>
      </w:r>
    </w:p>
    <w:p>
      <w:pPr>
        <w:ind w:left="420"/>
      </w:pPr>
      <w:r>
        <w:t xml:space="preserve">1. entweder eine Fahrzeit in der Binnenschifffahrt von mindestens 180 Tagen als Matrose oder Matrosin nachweisen</w:t>
      </w:r>
    </w:p>
    <w:p>
      <w:pPr>
        <w:ind w:left="420"/>
      </w:pPr>
      <w:r>
        <w:t xml:space="preserve">2. oder</w:t>
      </w:r>
    </w:p>
    <w:p>
      <w:pPr>
        <w:ind w:left="780"/>
      </w:pPr>
      <w:r>
        <w:t xml:space="preserve">a) ein nach § 55 Absatz 1 zugelassenes Ausbildungsprogramm für die Betriebsebene oder ein entsprechendes, von einem anderen Mitgliedstaat der Europäischen Union zugelassenes Ausbildungsprogramm erfolgreich abgeschlossen haben und</w:t>
      </w:r>
    </w:p>
    <w:p>
      <w:pPr>
        <w:ind w:left="780"/>
      </w:pPr>
      <w:r>
        <w:t xml:space="preserve">b) eine Fahrzeit von mindestens 270 Tagen als Teil dieses Ausbildungsprogramms nachweisen.</w:t>
      </w:r>
    </w:p>
    <w:p>
      <w:r>
        <w:rPr>
          <w:color w:val="555555"/>
          <w:sz w:val="17"/>
        </w:rPr>
        <w:t xml:space="preserve">Zitiervorschlag: § 32 BinSchPersV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https://recht.nulegal.eu/gesetze/BinSchPersV/32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