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BinSchPersV — Vorübergehende Abweichungen; Verordnungsermächtigung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07.12.2021 (konsolidierte Textfassung, kein amtliches Inkrafttretensdatum)</w:t>
      </w:r>
    </w:p>
    <w:p>
      <w:r>
        <w:t xml:space="preserve">(1) Die Generaldirektion Wasserstraßen und Schifffahrt wird ermächtigt, durch Rechtsverordnung von dieser Verordnung abweichende Vorschriften bis zur Dauer von drei Jahren zu erlassen</w:t>
      </w:r>
    </w:p>
    <w:p>
      <w:pPr>
        <w:ind w:left="420"/>
      </w:pPr>
      <w:r>
        <w:t xml:space="preserve">1. zur Anpassung an die technische Entwicklung der Binnenschifffahrt oder</w:t>
      </w:r>
    </w:p>
    <w:p>
      <w:pPr>
        <w:ind w:left="420"/>
      </w:pPr>
      <w:r>
        <w:t xml:space="preserve">2. zu Versuchszwecken.</w:t>
      </w:r>
    </w:p>
    <w:p>
      <w:r>
        <w:t xml:space="preserve">(2) Die abweichenden Vorschriften</w:t>
      </w:r>
    </w:p>
    <w:p>
      <w:pPr>
        <w:ind w:left="420"/>
      </w:pPr>
      <w:r>
        <w:t xml:space="preserve">1. müssen mit den Vorgaben der Richtlinie (EU) 2017/2397 und den aufgrund dieser Richtlinie erlassenen Rechtsakten der Europäischen Union vereinbar sein,</w:t>
      </w:r>
    </w:p>
    <w:p>
      <w:pPr>
        <w:ind w:left="420"/>
      </w:pPr>
      <w:r>
        <w:t xml:space="preserve">2. dürfen den Jugendarbeitsschutz, den Arbeitsschutz sowie die Sicherheit und den Gesundheitsschutz von Besatzung nicht gefährden und</w:t>
      </w:r>
    </w:p>
    <w:p>
      <w:pPr>
        <w:ind w:left="420"/>
      </w:pPr>
      <w:r>
        <w:t xml:space="preserve">3. dürfen die Sicherheit und Leichtigkeit des Schiffsverkehrs nicht gefährden.</w:t>
      </w:r>
    </w:p>
    <w:p>
      <w:r>
        <w:rPr>
          <w:color w:val="555555"/>
          <w:sz w:val="17"/>
        </w:rPr>
        <w:t xml:space="preserve">Zitiervorschlag: § 3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