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BinSchPersV — Amtlicher Berechtigungsschein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26.09.2024 (konsolidierte Textfassung, kein amtliches Inkrafttretensdatum)</w:t>
      </w:r>
    </w:p>
    <w:p>
      <w:r>
        <w:t xml:space="preserve">(1) Wer eines der folgenden Fahrzeuge führt, kann seine Befähigung auch durch einen amtlichen Berechtigungsschein nachweisen:</w:t>
      </w:r>
    </w:p>
    <w:p>
      <w:pPr>
        <w:ind w:left="420"/>
      </w:pPr>
      <w:r>
        <w:t xml:space="preserve">1. Dienstfahrzeuge der Bundeswehr, der Bundeszollverwaltung, der Bundespolizei, der Bereitschaftspolizei und der Wasserschutzpolizei der Länder, jeweils mit einer Länge von nicht mehr als 25 Metern,</w:t>
      </w:r>
    </w:p>
    <w:p>
      <w:pPr>
        <w:ind w:left="420"/>
      </w:pPr>
      <w:r>
        <w:t xml:space="preserve">2. Dienstfahrzeuge des Zivil- und Katastrophenschutzes, der Wasserstraßen- und Schifffahrtsverwaltung des Bundes, der Wasserstraßen-, Wasserwirtschafts-, Schifffahrts- oder Fischereiverwaltung eines Landes, eines Landeskriminalamtes und der Feuerwehr, jeweils mit einer Länge von weniger als 20 Metern,</w:t>
      </w:r>
    </w:p>
    <w:p>
      <w:pPr>
        <w:ind w:left="420"/>
      </w:pPr>
      <w:r>
        <w:t xml:space="preserve">3. Wasserrettungsfahrzeuge einer als gemeinnützig anerkannten Körperschaft mit einer Länge von weniger als 20 Metern.</w:t>
      </w:r>
    </w:p>
    <w:p>
      <w:r>
        <w:t xml:space="preserve">(2) Der amtliche Berechtigungsschein muss von der Dienst- oder Ausbildungsstelle des Betreffenden nach deren Vorgaben ausgestellt sein.</w:t>
      </w:r>
    </w:p>
    <w:p>
      <w:r>
        <w:rPr>
          <w:color w:val="555555"/>
          <w:sz w:val="17"/>
        </w:rPr>
        <w:t xml:space="preserve">Zitiervorschlag: § 13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