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 BinSchPersV — Pflichten der Eigentümer, der Ausrüster, der Bevollmächtigten und der Besatzungsmitglieder</w:t>
      </w:r>
    </w:p>
    <w:p>
      <w:r>
        <w:rPr>
          <w:color w:val="555555"/>
          <w:sz w:val="18"/>
        </w:rPr>
        <w:t xml:space="preserve">Binnenschiffspersonalverordnung</w:t>
      </w:r>
    </w:p>
    <w:p>
      <w:r>
        <w:rPr>
          <w:color w:val="555555"/>
          <w:sz w:val="18"/>
        </w:rPr>
        <w:t xml:space="preserve">Stand: 21.10.2025 (konsolidierte Textfassung, kein amtliches Inkrafttretensdatum)</w:t>
      </w:r>
    </w:p>
    <w:p>
      <w:r>
        <w:t xml:space="preserve">(1) Die Eigentümer oder, sofern ein Ausrüsterverhältnis besteht, die Ausrüster eines Fahrzeugs dürfen nicht anordnen oder zulassen, dass jemand das Fahrzeug führt,</w:t>
      </w:r>
    </w:p>
    <w:p>
      <w:pPr>
        <w:ind w:left="420"/>
      </w:pPr>
      <w:r>
        <w:t xml:space="preserve">1. der hierfür über kein Befähigungszeugnis nach § 11 Absatz 1 verfügt oder</w:t>
      </w:r>
    </w:p>
    <w:p>
      <w:pPr>
        <w:ind w:left="420"/>
      </w:pPr>
      <w:r>
        <w:t xml:space="preserve">2. gegen den die Aussetzung nach § 91 Absatz 1 Satz 1 oder Absatz 2 Satz 1, auch in Verbindung mit Absatz 5 Satz 1, vollziehbar angeordnet wurde.</w:t>
      </w:r>
    </w:p>
    <w:p>
      <w:r>
        <w:t xml:space="preserve">(2) Die Eigentümer, Ausrüster und ihre Bevollmächtigten dürfen nicht anordnen oder zulassen, dass</w:t>
      </w:r>
    </w:p>
    <w:p>
      <w:pPr>
        <w:ind w:left="420"/>
      </w:pPr>
      <w:r>
        <w:t xml:space="preserve">1. die für die jeweilige Betriebsform festgesetzte Fahrzeit eines Fahrzeugs nach § 101 Absatz 2 Satz 1, auch in Verbindung mit Anhang II Teil III Kapitel 7 § 7.02 Nummer 2 und § 7.03 Nummer 2 der Binnenschiffsuntersuchungsordnung, nicht eingehalten oder die Fahrt nicht entsprechend eingestellt wird,</w:t>
      </w:r>
    </w:p>
    <w:p>
      <w:pPr>
        <w:ind w:left="420"/>
      </w:pPr>
      <w:r>
        <w:t xml:space="preserve">2. ein Mitglied der Besatzung entgegen § 103 Absatz 3 Satz 1 oder 2 während seiner Mindestruhezeit eingesetzt wird.</w:t>
      </w:r>
    </w:p>
    <w:p>
      <w:r>
        <w:t xml:space="preserve">(3) Die Eigentümer, Ausrüster, ihre Bevollmächtigten und der Schiffsführer oder die Schiffsführerin haben dafür zu sorgen, dass</w:t>
      </w:r>
    </w:p>
    <w:p>
      <w:pPr>
        <w:ind w:left="420"/>
      </w:pPr>
      <w:r>
        <w:t xml:space="preserve">1. die für die jeweilige Betriebsform und Fahrzeit des Fahrzeugs, der schwimmenden Anlage, der Fähre oder des Schwimmkörpers vorgeschriebene Besatzung nach § 104 Absatz 1, 2, 3 und 4, § 105 Absatz 1, 3 bis 6 Satz 1, Absatz 7 Satz 1, § 106 Absatz 1, 2 Satz 3 und 4, § 107 Absatz 1 und 3, § 108 Absatz 1, 5 und 6, § 109 Absatz 1, 3 Satz 2 und 3 und Absatz 6 Satz 1, § 111 Absatz 1, § 112 Absatz 1 und 4, § 113 Absatz 1 Satz 1 und Absatz 5, § 114, § 115 und § 116 Absatz 1 und 2 während der Fahrt ständig an Bord ist,</w:t>
      </w:r>
    </w:p>
    <w:p>
      <w:pPr>
        <w:ind w:left="420"/>
      </w:pPr>
      <w:r>
        <w:t xml:space="preserve">2. das für Tagesausflugsschiffe und Kabinenschiffe nach § 110 Absatz 1 Satz 1, Absatz 2 und 4 Satz 2 jeweils vorgeschriebene Sicherheitspersonal während der Fahrt und beim Stillliegen ständig an Bord verfügbar ist sowie der nach § 100 Absatz 3 Satz 1 vorgeschriebene Kontrollgang nachts stündlich durchgeführt wird.</w:t>
      </w:r>
    </w:p>
    <w:p>
      <w:pPr>
        <w:ind w:left="420"/>
      </w:pPr>
      <w:r>
        <w:t xml:space="preserve">3. nur Personen als Besatzungsmitglieder eingesetzt werden, die über das für die auszuübende Funktion jeweils vorgeschriebene Befähigungszeugnis verfügen,</w:t>
      </w:r>
    </w:p>
    <w:p>
      <w:r>
        <w:t xml:space="preserve">(4) Der Schiffsführer oder die Schiffsführerin</w:t>
      </w:r>
    </w:p>
    <w:p>
      <w:pPr>
        <w:ind w:left="420"/>
      </w:pPr>
      <w:r>
        <w:t xml:space="preserve">1. hat die für die jeweilige Betriebsform festgesetzte höchstzulässige Fahrzeit eines Fahrzeugs nach § 101 Absatz 2, auch in Verbindung mit Anhang II Teil III Kapitel 7 § 7.03 Nummer 2 der Binnenschiffsuntersuchungsordnung, einzuhalten und die Fahrt spätestens bei deren Ablauf zu beenden,</w:t>
      </w:r>
    </w:p>
    <w:p>
      <w:pPr>
        <w:ind w:left="420"/>
      </w:pPr>
      <w:r>
        <w:t xml:space="preserve">2. darf kein Mitglied der Besatzung während seiner Mindestruhezeit nach § 103 Absatz 3 Satz 1 und 2 einsetzen,</w:t>
      </w:r>
    </w:p>
    <w:p>
      <w:pPr>
        <w:ind w:left="420"/>
      </w:pPr>
      <w:r>
        <w:t xml:space="preserve">3. hat das Bordbuch nach § 102 Absatz 1 Satz 1 fünfzehn Monate nach der letzten Eintragung an Bord aufzubewahren,</w:t>
      </w:r>
    </w:p>
    <w:p>
      <w:pPr>
        <w:ind w:left="420"/>
      </w:pPr>
      <w:r>
        <w:t xml:space="preserve">4. hat das Bordbuch nach § 102 Absatz 1 Satz 1 nach Maßgabe der Anweisungen zur Führung des Bordbuchs auf Seite 2 des Musters des Anhangs V der Durchführungsverordnung (EU) 2020/182 zu führen,</w:t>
      </w:r>
    </w:p>
    <w:p>
      <w:pPr>
        <w:ind w:left="420"/>
      </w:pPr>
      <w:r>
        <w:t xml:space="preserve">5. hat dafür zu sorgen, dass die Eintragungen nach § 28 Absatz 6 Satz 2 nach Fahrtantritt vorgenommen werden.</w:t>
      </w:r>
    </w:p>
    <w:p>
      <w:r>
        <w:rPr>
          <w:color w:val="555555"/>
          <w:sz w:val="17"/>
        </w:rPr>
        <w:t xml:space="preserve">Zitiervorschlag: § 119 BinSchPersV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https://recht.nulegal.eu/gesetze/BinSchPersV/119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