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111 BinSchPersV — Mindestbesatzung auf Fahrgastbooten</w:t>
      </w:r>
    </w:p>
    <w:p>
      <w:r>
        <w:rPr>
          <w:color w:val="555555"/>
          <w:sz w:val="18"/>
        </w:rPr>
        <w:t xml:space="preserve">Binnenschiffspersonalverordnung</w:t>
      </w:r>
    </w:p>
    <w:p>
      <w:r>
        <w:rPr>
          <w:color w:val="555555"/>
          <w:sz w:val="18"/>
        </w:rPr>
        <w:t xml:space="preserve">Stand: 07.12.2021 (konsolidierte Textfassung, kein amtliches Inkrafttretensdatum)</w:t>
      </w:r>
    </w:p>
    <w:p>
      <w:r>
        <w:t xml:space="preserve">(1) Fahrgastboote sind mindestens mit einem Schiffsführer sowie einem Decksmann zu besetzen.</w:t>
      </w:r>
    </w:p>
    <w:p>
      <w:r>
        <w:t xml:space="preserve">(2) Die zuständige Behörde kann auf Antrag des Eigentümers oder Ausrüsters genehmigen, dass auf Fahrgastbooten, die für die Wasserstraßen der Zone 3 (außer der Wasserstraße Rhein) und Zone 4 zugelassen werden sollen, der Decksmann entfällt, wenn</w:t>
      </w:r>
    </w:p>
    <w:p>
      <w:pPr>
        <w:ind w:left="420"/>
      </w:pPr>
      <w:r>
        <w:t xml:space="preserve">1. das Fahrgastboot nur bei Tag und gutsichtigem Wetter fährt,</w:t>
      </w:r>
    </w:p>
    <w:p>
      <w:pPr>
        <w:ind w:left="420"/>
      </w:pPr>
      <w:r>
        <w:t xml:space="preserve">2. der Steuerstand vom Fahrgastbereich abgetrennt ist,</w:t>
      </w:r>
    </w:p>
    <w:p>
      <w:pPr>
        <w:ind w:left="420"/>
      </w:pPr>
      <w:r>
        <w:t xml:space="preserve">3. der Schiffsführer das Steuerhaus oder den Steuerstand für das Festmachen nicht verlassen muss,</w:t>
      </w:r>
    </w:p>
    <w:p>
      <w:pPr>
        <w:ind w:left="420"/>
      </w:pPr>
      <w:r>
        <w:t xml:space="preserve">4. die Beschaffenheit der Anlegestelle sicherstellt, dass das festgemachte Fahrgastboot bezogen auf die Anlegestelle ruhig liegt und keine gefährlichen vertikalen und horizontalen Eigenbewegungen ausführt,</w:t>
      </w:r>
    </w:p>
    <w:p>
      <w:pPr>
        <w:ind w:left="420"/>
      </w:pPr>
      <w:r>
        <w:t xml:space="preserve">5. die Anker vom Steuerhaus oder Steuerstand fallen gelassen werden können und</w:t>
      </w:r>
    </w:p>
    <w:p>
      <w:pPr>
        <w:ind w:left="420"/>
      </w:pPr>
      <w:r>
        <w:t xml:space="preserve">6. das Ein- und Ausschalten der Lenzpumpe vom Steuerhaus oder Steuerstand oder automatisch über einen Geber erfolgt.</w:t>
      </w:r>
    </w:p>
    <w:p>
      <w:r>
        <w:t xml:space="preserve">Wird dem Antrag stattgegeben, so sind die einzuhaltenden Bedingungen nach Satz 1 Nummer 1 bis 6 in die Fahrtauglichkeitsbescheinigung einzutragen.</w:t>
      </w:r>
    </w:p>
    <w:p>
      <w:r>
        <w:t xml:space="preserve">(3) Absatz 2 gilt nicht für Fahrgastboote, die so gebaut und eingerichtet sind, dass sie auch durch Segel fortbewegt werden können.</w:t>
      </w:r>
    </w:p>
    <w:p>
      <w:r>
        <w:rPr>
          <w:color w:val="555555"/>
          <w:sz w:val="17"/>
        </w:rPr>
        <w:t xml:space="preserve">Zitiervorschlag: § 111 BinSchPersV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https://recht.nulegal.eu/gesetze/BinSchPersV/111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