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BinSchPRG — Auszug aus EinigVtr Anlage I Kapitel III Sachgebiet D Abschnitt III (BGBl. II 1990, 889, 960) - Maßgaben für das beigetretene Gebiet (Art. 3 EinigVtr) -</w:t>
      </w:r>
    </w:p>
    <w:p>
      <w:r>
        <w:rPr>
          <w:color w:val="555555"/>
          <w:sz w:val="18"/>
        </w:rPr>
        <w:t xml:space="preserve">Binnenschiffahrtsgesetz</w:t>
      </w:r>
    </w:p>
    <w:p>
      <w:r>
        <w:rPr>
          <w:color w:val="555555"/>
          <w:sz w:val="18"/>
        </w:rPr>
        <w:t xml:space="preserve">Stand: 10.06.2019 (konsolidierte Textfassung, kein amtliches Inkrafttretensdatum)</w:t>
      </w:r>
    </w:p>
    <w:p>
      <w:r>
        <w:t xml:space="preserve">Abschnitt III Bundesrecht tritt in dem in Artikel 3 des Vertrages genannten Gebiet mit folgenden Maßgaben in Kraft: ...</w:t>
      </w:r>
    </w:p>
    <w:p>
      <w:pPr>
        <w:ind w:left="420"/>
      </w:pPr>
      <w:r>
        <w:t xml:space="preserve">4. Binnenschiffahrtsgesetz in der im Bundesgesetzblatt Teil III, Gliederungsnummer 4103-1, veröffentlichten bereinigten Fassung, zuletzt geändert durch Artikel 2 des Gesetzes vom 25. Juli 1986 (BGBl. I S. 1120),mit folgender Maßgabe:Durch den gesamtdeutschen Gesetzgeber sollte für die gewerbliche Binnenschiffahrt bereits vor dem völkerrechtlichen Inkrafttreten des Straßburger Übereinkommens vom 4. November 1988 über die Beschränkung der Haftung in der Binnenschiffahrt (CLNI) die summenmäßige Haftungsbeschränkung eingeführt werden.</w:t>
      </w:r>
    </w:p>
    <w:p>
      <w:r>
        <w:t xml:space="preserve">...</w:t>
      </w:r>
    </w:p>
    <w:p>
      <w:r>
        <w:rPr>
          <w:color w:val="555555"/>
          <w:sz w:val="17"/>
        </w:rPr>
        <w:t xml:space="preserve">Zitiervorschlag: Anhang EV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