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92f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92 bis 92e gelten auch für die Haftung der Personen der Schiffsbesatzung und der Lotsen.</w:t>
      </w:r>
    </w:p>
    <w:p>
      <w:r>
        <w:t xml:space="preserve">(2) Die Vorschriften über die Beschränkung der Haftung des Schiffseigners, der Besatzungsmitglieder und der Lotsen und über ihre Haftung aus Verträgen bleiben unberührt.</w:t>
      </w:r>
    </w:p>
    <w:p>
      <w:r>
        <w:rPr>
          <w:color w:val="555555"/>
          <w:sz w:val="17"/>
        </w:rPr>
        <w:t xml:space="preserve">Zitiervorschlag: § 92f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https://recht.nulegal.eu/gesetze/BinSchPRG/92f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