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92c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Ist der Schaden durch gemeinsames Verschulden der Besatzungen der beteiligten Schiffe herbeigeführt, so sind die Eigner dieser Schiffe zum Ersatz des Schadens, der den Schiffen oder den an Bord befindlichen Sachen zugefügt wird, nach dem Verhältnis der Schwere des auf jeder Seite obwaltenden Verschuldens verpflichtet. Kann nach den Umständen ein solches Verhältnis nicht festgesetzt werden oder erscheint das auf jeder Seite obwaltende Verschulden als gleich schwer, so sind die Schiffseigner zu gleichen Teilen ersatzpflichtig.</w:t>
      </w:r>
    </w:p>
    <w:p>
      <w:r>
        <w:t xml:space="preserve">(2) Für den Schaden, der durch die Tötung oder die Verletzung des Körpers oder der Gesundheit einer an Bord befindlichen Person entstanden ist, haften die Schiffseigner, wenn der Schaden durch gemeinsames Verschulden herbeigeführt ist, dem Verletzten als Gesamtschuldner. Im Verhältnis der Schiffseigner zueinander gelten auch für einen solchen Schaden die Vorschriften des Absatzes 1.</w:t>
      </w:r>
    </w:p>
    <w:p>
      <w:r>
        <w:rPr>
          <w:color w:val="555555"/>
          <w:sz w:val="17"/>
        </w:rPr>
        <w:t xml:space="preserve">Zitiervorschlag: § 92c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https://recht.nulegal.eu/gesetze/BinSchPRG/92c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