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der Schiffer durch Krankheit oder andere Ursachen verhindert ist, das Schiff zu führen, so darf er den Antritt oder die Fortsetzung der Reise nicht ungebührlich verzögern; er muß vielmehr, wenn Zeit und Umstände es gestatten, die Anordnung des Schiffseigners einholen und für die Zwischenzeit die geeigneten Vorkehrungen treffen, im entgegengesetzten Fall aber einen anderen Schiffer einsetzen.</w:t>
      </w:r>
    </w:p>
    <w:p>
      <w:r>
        <w:t xml:space="preserve">(2) Für diesen Stellvertreter ist er nur insofern verantwortlich, als ihm bei der Wahl desselben ein Verschulden zur Last fällt.</w:t>
      </w:r>
    </w:p>
    <w:p>
      <w:r>
        <w:rPr>
          <w:color w:val="555555"/>
          <w:sz w:val="17"/>
        </w:rPr>
        <w:t xml:space="preserve">Zitiervorschlag: § 9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