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Der Schiffer hat vor Antritt der Reise darauf zu sehen, daß das Schiff in fahrtüchtigem Zustande, gehörig eingerichtet und ausgerüstet, sowie hinreichend bemannt ist, und daß die Schiffspapiere und Ladungsverzeichnisse an Bord sind.</w:t>
      </w:r>
    </w:p>
    <w:p>
      <w:r>
        <w:t xml:space="preserve">(2) Er hat für die Tüchtigkeit der Gerätschaften zum Laden und Löschen, für die gehörige Stauung der Ladung, sowie dafür zu sorgen, daß das Schiff nicht schwerer beladen wird, als die Tragfähigkeit desselben und die jeweiligen Wasserstandsverhältnisse es gestatten.</w:t>
      </w:r>
    </w:p>
    <w:p>
      <w:r>
        <w:t xml:space="preserve">(3) Wenn der Schiffer im Auslande die daselbst geltenden Vorschriften, insbesondere die Polizei-, Steuer- und Zollgesetze nicht beobachtet, so hat er den daraus entstehenden Schaden zu ersetzen.</w:t>
      </w:r>
    </w:p>
    <w:p>
      <w:r>
        <w:t xml:space="preserve">(4) (weggefallen)</w:t>
      </w:r>
    </w:p>
    <w:p>
      <w:r>
        <w:rPr>
          <w:color w:val="555555"/>
          <w:sz w:val="17"/>
        </w:rPr>
        <w:t xml:space="preserve">Zitiervorschlag: § 8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