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Das Gericht des Ortes, von dem aus die Schiffahrt mit dem Schiffe betrieben wird (Heimatort), ist, vorbehaltlich des § 3 Abs. 1 des Gesetzes über das gerichtliche Verfahren in Binnenschiffahrtssachen vom 27. September 1952 (Bundesgesetzbl. I S. 641), für alle gegen den Schiffseigner als solchen zu erhebenden Klagen zuständig ohne Unterschied, ob er persönlich oder nur mit dem Schiff haftet.</w:t>
      </w:r>
    </w:p>
    <w:p>
      <w:r>
        <w:t xml:space="preserve">(2) Unter mehreren hiernach in Betracht kommenden Orten gilt als Heimatort der Ort, wo die Geschäftsniederlassung, bei mehreren Niederlassungen die Hauptniederlassung und in Ermangelung einer Geschäftsniederlassung der Wohnsitz des Schiffseigners sich befindet.</w:t>
      </w:r>
    </w:p>
    <w:p>
      <w:r>
        <w:t xml:space="preserve">(3) Ist ein Heimatort nicht festzustellen, so gilt als solcher der Ort, wo der Schiffseigner zur Gewerbesteuer oder Einkommensteuer veranlagt wird.</w:t>
      </w:r>
    </w:p>
    <w:p>
      <w:r>
        <w:rPr>
          <w:color w:val="555555"/>
          <w:sz w:val="17"/>
        </w:rPr>
        <w:t xml:space="preserve">Zitiervorschlag: § 6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