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5n BinSchPRG</w:t>
      </w:r>
    </w:p>
    <w:p>
      <w:r>
        <w:rPr>
          <w:color w:val="555555"/>
          <w:sz w:val="18"/>
        </w:rPr>
        <w:t xml:space="preserve">Binnenschiffahrtsgesetz</w:t>
      </w:r>
    </w:p>
    <w:p>
      <w:r>
        <w:rPr>
          <w:color w:val="555555"/>
          <w:sz w:val="18"/>
        </w:rPr>
        <w:t xml:space="preserve">Stand: 02.07.2019 (konsolidierte Textfassung, kein amtliches Inkrafttretensdatum)</w:t>
      </w:r>
    </w:p>
    <w:p>
      <w:r>
        <w:t xml:space="preserve">(1) Die §§ 4 bis 5m in der durch das Zweite Gesetz zur Änderung der Haftungsbeschränkung in der Binnenschifffahrt vom 5. Juli 2016 (BGBl. I S. 1578) geänderten Fassung sind nur anzuwenden, wenn das Ereignis, aus dem die Ansprüche entstanden sind, nach dem Inkrafttreten dieses Gesetzes eingetreten ist.</w:t>
      </w:r>
    </w:p>
    <w:p>
      <w:r>
        <w:t xml:space="preserve">(2) Die Beschränkung der Haftung für Ansprüche aus einem Ereignis, das vor dem Inkrafttreten des Zweiten Gesetzes zur Änderung der Haftungsbeschränkung in der Binnenschifffahrt eingetreten ist, bestimmt sich nach den im Zeitpunkt des Eintritts dieses Ereignisses geltenden Bestimmungen.</w:t>
      </w:r>
    </w:p>
    <w:p>
      <w:r>
        <w:rPr>
          <w:color w:val="555555"/>
          <w:sz w:val="17"/>
        </w:rPr>
        <w:t xml:space="preserve">Zitiervorschlag: § 5n BinSchPRG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https://recht.nulegal.eu/gesetze/BinSchPRG/5n</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