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5l BinSchPRG</w:t>
      </w:r>
    </w:p>
    <w:p>
      <w:r>
        <w:rPr>
          <w:color w:val="555555"/>
          <w:sz w:val="18"/>
        </w:rPr>
        <w:t xml:space="preserve">Binnenschiffahrtsgesetz</w:t>
      </w:r>
    </w:p>
    <w:p>
      <w:r>
        <w:rPr>
          <w:color w:val="555555"/>
          <w:sz w:val="18"/>
        </w:rPr>
        <w:t xml:space="preserve">Stand: 02.07.2019 (konsolidierte Textfassung, kein amtliches Inkrafttretensdatum)</w:t>
      </w:r>
    </w:p>
    <w:p>
      <w:r>
        <w:t xml:space="preserve">(1) Die in diesem Abschnitt genannte Rechnungseinheit ist das Sonderziehungsrecht des Internationalen Währungsfonds. Die nach den §§ 5e bis 5k maßgebenden Haftungshöchstbeträge werden in Euro entsprechend dem Wert des Euro gegenüber dem Sonderziehungsrecht im Zeitpunkt der Errichtung des Haftungsfonds oder der Leistung einer vom Gericht zugelassenen Sicherheit umgerechnet. Wird die Beschränkung der Haftung im Wege der Einrede nach § 5d Abs. 3 geltend gemacht, so ist maßgeblicher Zeitpunkt für die Umrechnung der Tag des Urteils. Der Wert des Euro gegenüber dem Sonderziehungsrecht wird nach der Berechnungsmethode ermittelt, die der Internationale Währungsfonds an dem betreffenden Tag für seine Operationen und Transaktionen anwendet.</w:t>
      </w:r>
    </w:p>
    <w:p>
      <w:r>
        <w:t xml:space="preserve">(2) Das Bundesministerium der Justiz und für Verbraucherschutz wird ermächtigt, durch Rechtsverordnung, die nicht der Zustimmung des Bundesrates bedarf, die in den §§ 5e bis 5k genannten Beträge nach Maßgabe der Änderungen, die gemäß Artikel 20 des Straßburger Übereinkommens vom 27. September 2012 über die Beschränkung der Haftung in der Binnenschifffahrt (CLNI 2012) als angenommen gelten, zu ändern.</w:t>
      </w:r>
    </w:p>
    <w:p>
      <w:r>
        <w:rPr>
          <w:color w:val="555555"/>
          <w:sz w:val="17"/>
        </w:rPr>
        <w:t xml:space="preserve">Zitiervorschlag: § 5l BinSchPRG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https://recht.nulegal.eu/gesetze/BinSchPRG/5l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