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5k BinSchPRG</w:t>
      </w:r>
    </w:p>
    <w:p>
      <w:r>
        <w:rPr>
          <w:color w:val="555555"/>
          <w:sz w:val="18"/>
        </w:rPr>
        <w:t xml:space="preserve">Binnenschiffahrtsgesetz</w:t>
      </w:r>
    </w:p>
    <w:p>
      <w:r>
        <w:rPr>
          <w:color w:val="555555"/>
          <w:sz w:val="18"/>
        </w:rPr>
        <w:t xml:space="preserve">Stand: 13.04.2025 (konsolidierte Textfassung, kein amtliches Inkrafttretensdatum)</w:t>
      </w:r>
    </w:p>
    <w:p>
      <w:r>
        <w:t xml:space="preserve">(1) Für die Gesamtheit der aus demselben Ereignis entstandenen Ansprüche wegen der Tötung oder Verletzung von Personen, die</w:t>
      </w:r>
    </w:p>
    <w:p>
      <w:pPr>
        <w:ind w:left="420"/>
      </w:pPr>
      <w:r>
        <w:t xml:space="preserve">1. auf Grund eines Personenbeförderungsvertrages oder</w:t>
      </w:r>
    </w:p>
    <w:p>
      <w:pPr>
        <w:ind w:left="420"/>
      </w:pPr>
      <w:r>
        <w:t xml:space="preserve">2. mit Zustimmung des Beförderers in Begleitung eines auf Grund eines Güterbeförderungsvertrages mit dem Schiff beförderten Fahrzeugs oder lebenden Tieres</w:t>
      </w:r>
    </w:p>
    <w:p>
      <w:r>
        <w:t xml:space="preserve">mit dem Schiff befördert worden sind (Reisende), gilt ein gesonderter Haftungshöchstbetrag. Dieser steht ausschließlich zur Befriedigung von Ansprüchen der Reisenden zur Verfügung.</w:t>
      </w:r>
    </w:p>
    <w:p>
      <w:r>
        <w:t xml:space="preserve">(2) Der Haftungshöchstbetrag für Ansprüche wegen Personenschäden von Reisenden nach Absatz 1 beträgt 112 600 Rechnungseinheiten, multipliziert mit der Anzahl der Reisenden, die das Schiff nach dem Schiffszeugnis befördern darf. Ist die Anzahl der Reisenden, die befördert werden dürfen, nicht vorgegeben, so bestimmt sich der Haftungshöchstbetrag nach der Anzahl der Reisenden, die das Schiff im Zeitpunkt des haftungsbegründenden Ereignisses tatsächlich befördert hat. Der Haftungshöchstbetrag beträgt jedoch mindestens 2,252 Millionen Rechnungseinheiten.</w:t>
      </w:r>
    </w:p>
    <w:p>
      <w:r>
        <w:t xml:space="preserve">(3) Abweichend von Absatz 2 beträgt der Haftungshöchstbetrag für einen Berger im Sinne von § 5c Abs. 1 Nr. 2 oder einen an Bord tätigen Lotsen 2,252 Millionen Rechnungseinheiten.</w:t>
      </w:r>
    </w:p>
    <w:p>
      <w:r>
        <w:rPr>
          <w:color w:val="555555"/>
          <w:sz w:val="17"/>
        </w:rPr>
        <w:t xml:space="preserve">Zitiervorschlag: § 5k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https://recht.nulegal.eu/gesetze/BinSchPRG/5k</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