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5h BinSchPRG</w:t>
      </w:r>
    </w:p>
    <w:p>
      <w:r>
        <w:rPr>
          <w:color w:val="555555"/>
          <w:sz w:val="18"/>
        </w:rPr>
        <w:t xml:space="preserve">Binnenschiffahrtsgesetz</w:t>
      </w:r>
    </w:p>
    <w:p>
      <w:r>
        <w:rPr>
          <w:color w:val="555555"/>
          <w:sz w:val="18"/>
        </w:rPr>
        <w:t xml:space="preserve">Stand: 13.04.2025 (konsolidierte Textfassung, kein amtliches Inkrafttretensdatum)</w:t>
      </w:r>
    </w:p>
    <w:p>
      <w:r>
        <w:t xml:space="preserve">(1) Für die Gesamtheit der aus demselben Ereignis entstandenen Ansprüche wegen Schäden, die direkt oder indirekt durch die Gefährlichkeit von gefährlichen, auf dem Schiff beförderten Gütern verursacht worden sind, gilt ein gesonderter Haftungshöchstbetrag, es sei denn, die Ansprüche sind solche nach § 89 des Wasserhaushaltsgesetzes. Der Haftungshöchstbetrag steht ausschließlich zur Befriedigung der in Satz 1 genannten Ansprüche zur Verfügung. Gefährliche Güter im Sinne des Satzes 1 sind alle gefährlichen Güter im Sinne des Kapitels 3.2 der dem Europäischen Übereinkommen vom 26. Mai 2000 über die internationale Beförderung von gefährlichen Gütern auf Binnenwasserstraßen in der Anlage beigefügten Verordnung (BGBl. 2007 II S. 1906, 1908 – Anlageband; 2010 II S. 122, 123, 1183, 1184), die zuletzt durch Beschluss des ADN-Verwaltungsausschusses vom 29. August 2014 (BGBl. 2014 II S. 1344) geändert worden ist, in der jeweils in der Bundesrepublik Deutschland in Kraft gesetzten Fassung.</w:t>
      </w:r>
    </w:p>
    <w:p>
      <w:r>
        <w:t xml:space="preserve">(2) Der nach Absatz 1 maßgebliche Haftungshöchstbetrag beträgt</w:t>
      </w:r>
    </w:p>
    <w:p>
      <w:pPr>
        <w:ind w:left="420"/>
      </w:pPr>
      <w:r>
        <w:t xml:space="preserve">1. für die Gesamtheit der aus demselben Ereignis entstandenen Ansprüche wegen Personenschäden das Doppelte der nach § 5e maßgebenden Haftungshöchstbeträge, mindestens jedoch 11,26 Millionen Rechnungseinheiten;</w:t>
      </w:r>
    </w:p>
    <w:p>
      <w:pPr>
        <w:ind w:left="420"/>
      </w:pPr>
      <w:r>
        <w:t xml:space="preserve">2. für die Gesamtheit der aus demselben Ereignis entstandenen Ansprüche wegen Sachschäden das Doppelte der nach § 5f maßgebenden Haftungshöchstbeträge, mindestens jedoch 11,26 Millionen Rechnungseinheiten.</w:t>
      </w:r>
    </w:p>
    <w:p>
      <w:r>
        <w:t xml:space="preserve">(3) Bei der Befriedigung aus dem in Absatz 2 Nr. 2 genannten Haftungshöchstbetrag haben Ansprüche wegen Beschädigung von Hafenanlagen, Hafenbecken, Wasserstraßen, Schleusen, Wehren, Brücken und Navigationshilfen den Vorrang.</w:t>
      </w:r>
    </w:p>
    <w:p>
      <w:r>
        <w:t xml:space="preserve">(4) Reicht der nach Absatz 2 Nr. 1 maßgebende Haftungshöchstbetrag für Ansprüche wegen Personenschäden zur vollen Befriedigung dieser Ansprüche nicht aus, so steht der nach Absatz 2 Nr. 2 errechnete Betrag zur Befriedigung der nicht befriedigten Restansprüche nach Absatz 2 Nr. 1 zur Verfügung. Die Restansprüche wegen Personenschäden haben hierbei den gleichen Rang wie die Ansprüche wegen Sachschäden; Absatz 3 ist insoweit nicht anzuwenden.</w:t>
      </w:r>
    </w:p>
    <w:p>
      <w:r>
        <w:rPr>
          <w:color w:val="555555"/>
          <w:sz w:val="17"/>
        </w:rPr>
        <w:t xml:space="preserve">Zitiervorschlag: § 5h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