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5g BinSchPRG</w:t>
      </w:r>
    </w:p>
    <w:p>
      <w:r>
        <w:rPr>
          <w:color w:val="555555"/>
          <w:sz w:val="18"/>
        </w:rPr>
        <w:t xml:space="preserve">Binnenschiffahrtsgesetz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Reicht der nach § 5e maßgebende Haftungshöchstbetrag für Ansprüche wegen Personenschäden zur vollen Befriedigung dieser Ansprüche nicht aus, so steht der nach § 5f Abs. 1 errechnete Betrag zur Befriedigung der nicht befriedigten Restansprüche nach § 5e zur Verfügung. Die Restansprüche wegen Personenschäden haben hierbei den gleichen Rang wie die Ansprüche wegen Sachschäden; § 5f Abs. 2 ist insoweit nicht anzuwenden.</w:t>
      </w:r>
    </w:p>
    <w:p>
      <w:r>
        <w:rPr>
          <w:color w:val="555555"/>
          <w:sz w:val="17"/>
        </w:rPr>
        <w:t xml:space="preserve">Zitiervorschlag: § 5g BinSchPRG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https://recht.nulegal.eu/gesetze/BinSchPRG/5g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