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5f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Der Haftungshöchstbetrag, auf den die Haftung für die Gesamtheit der aus demselben Ereignis entstandenen Ansprüche wegen Sachschäden beschränkt werden kann, beträgt, sofern es sich nicht um Ansprüche im Sinne des § 5h handelt, die Hälfte der nach § 5e maßgebenden Haftungshöchstbeträge.</w:t>
      </w:r>
    </w:p>
    <w:p>
      <w:r>
        <w:t xml:space="preserve">(2) Bei der Befriedigung aus dem in Absatz 1 genannten Haftungshöchstbetrag haben Ansprüche wegen Beschädigung von Hafenanlagen, Hafenbecken, Wasserstraßen, Schleusen, Wehren, Brücken und Navigationshilfen den Vorrang.</w:t>
      </w:r>
    </w:p>
    <w:p>
      <w:r>
        <w:rPr>
          <w:color w:val="555555"/>
          <w:sz w:val="17"/>
        </w:rPr>
        <w:t xml:space="preserve">Zitiervorschlag: § 5f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https://recht.nulegal.eu/gesetze/BinSchPRG/5f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