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5e BinSchPRG</w:t>
      </w:r>
    </w:p>
    <w:p>
      <w:r>
        <w:rPr>
          <w:color w:val="555555"/>
          <w:sz w:val="18"/>
        </w:rPr>
        <w:t xml:space="preserve">Binnenschiffahrtsgesetz</w:t>
      </w:r>
    </w:p>
    <w:p>
      <w:r>
        <w:rPr>
          <w:color w:val="555555"/>
          <w:sz w:val="18"/>
        </w:rPr>
        <w:t xml:space="preserve">Stand: 13.04.2025 (konsolidierte Textfassung, kein amtliches Inkrafttretensdatum)</w:t>
      </w:r>
    </w:p>
    <w:p>
      <w:r>
        <w:t xml:space="preserve">(1) Der Haftungshöchstbetrag, auf den die Haftung für die Gesamtheit der aus demselben Ereignis entstandenen Ansprüche wegen Personenschäden beschränkt werden kann, wird, sofern es sich nicht um Ansprüche im Sinne der §§ 5h und 5k handelt, wie folgt berechnet:</w:t>
      </w:r>
    </w:p>
    <w:p>
      <w:pPr>
        <w:ind w:left="420"/>
      </w:pPr>
      <w:r>
        <w:t xml:space="preserve">1. Für ein Fahrgastschiff oder ein anderes Schiff, das nach seiner Zweckbestimmung nicht der Beförderung von Gütern dient, sind, soweit sich nicht aus den Nummern 3 und 4 etwas anderes ergibt, 450 Rechnungseinheiten je Kubikmeter Wasserverdrängung bei höchstzulässigem Tiefgang des Schiffes anzusetzen, bei Schiffen mit eigener Antriebskraft vermehrt um 1 576 Rechnungseinheiten je Kilowatt Leistungsfähigkeit der Antriebsmaschinen.</w:t>
      </w:r>
    </w:p>
    <w:p>
      <w:pPr>
        <w:ind w:left="420"/>
      </w:pPr>
      <w:r>
        <w:t xml:space="preserve">2. Für ein Schiff, das nach seiner Zweckbestimmung der Beförderung von Gütern dient, sind 450 Rechnungseinheiten je Tonne Tragfähigkeit des Schiffs anzusetzen, bei Schiffen mit eigener Antriebskraft vermehrt um 1 576 Rechnungseinheiten je Kilowatt Leistungsfähigkeit der Antriebsmaschinen.</w:t>
      </w:r>
    </w:p>
    <w:p>
      <w:pPr>
        <w:ind w:left="420"/>
      </w:pPr>
      <w:r>
        <w:t xml:space="preserve">3. Für ein Schlepp- oder Schubboot sind 1 576 Rechnungseinheiten je Kilowatt Leistungsfähigkeit der Antriebsmaschinen anzusetzen.</w:t>
      </w:r>
    </w:p>
    <w:p>
      <w:pPr>
        <w:ind w:left="420"/>
      </w:pPr>
      <w:r>
        <w:t xml:space="preserve">4. Für einen Bagger, Kran, Elevator oder eine sonstige schwimmende und bewegliche Anlage oder ein Gerät ähnlicher Art ist der Wert, den die Anlage oder das Gerät im Zeitpunkt des haftungsbegründenden Ereignisses hatte, anzusetzen.</w:t>
      </w:r>
    </w:p>
    <w:p>
      <w:r>
        <w:t xml:space="preserve">(2) Für ein Schubboot, das im Zeitpunkt des haftungsbegründenden Ereignisses starr mit einem oder mehreren Schubleichtern zu einem Schubverband verbunden war, erhöht sich der für das Schubboot nach Absatz 1 Nr. 3 anzusetzende Betrag um 225 Rechnungseinheiten je Tonne Tragfähigkeit der Schubleichter, soweit nicht das Schubboot für einen oder mehrere dieser Schubleichter Bergungsmaßnahmen erbracht hat. Erhöht sich der Haftungshöchstbetrag für das Schubboot nach Satz 1, so vermindert sich für jeden starr mit dem Schubboot verbundenen Schubleichter der Haftungshöchstbetrag für alle aus demselben Ereignis entstandenen Ansprüche um den gleichen Betrag. Satz 2 gilt jedoch nicht für einen Anspruch des für das Schubboot haftenden Schuldners gegen den für einen mit dem Schubboot starr verbundenen Schubleichter haftenden Schuldner auf Ausgleichung im Innenverhältnis.</w:t>
      </w:r>
    </w:p>
    <w:p>
      <w:r>
        <w:t xml:space="preserve">(3) Absatz 2 gilt entsprechend für ein Schiff mit eigener Antriebskraft, das im Zeitpunkt des haftungsbegründenden Ereignisses mit einem oder mehreren Schiffen fest gekoppelt war, die nicht Anlagen oder Geräte im Sinne des Absatzes 1 Nr. 4 darstellen, sowie für die gekoppelten Schiffe, jedoch mit der Maßgabe, daß sich für das fortbewegende Schiff der nach Absatz 1 anzusetzende Betrag um 225 Rechnungseinheiten je Kubikmeter Wasserverdrängung oder je Tonne Tragfähigkeit der anderen Schiffe erhöht.</w:t>
      </w:r>
    </w:p>
    <w:p>
      <w:r>
        <w:t xml:space="preserve">(4) In jedem Falle beträgt der Haftungshöchstbetrag mindestens 450 400 Rechnungseinheiten, soweit es sich nicht um Leichter handelt, die nur zum Umladen in Häfen verwendet werden.</w:t>
      </w:r>
    </w:p>
    <w:p>
      <w:r>
        <w:rPr>
          <w:color w:val="555555"/>
          <w:sz w:val="17"/>
        </w:rPr>
        <w:t xml:space="preserve">Zitiervorschlag: § 5e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