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5d BinSchPRG</w:t>
      </w:r>
    </w:p>
    <w:p>
      <w:r>
        <w:rPr>
          <w:color w:val="555555"/>
          <w:sz w:val="18"/>
        </w:rPr>
        <w:t xml:space="preserve">Binnenschiffahrtsgesetz</w:t>
      </w:r>
    </w:p>
    <w:p>
      <w:r>
        <w:rPr>
          <w:color w:val="555555"/>
          <w:sz w:val="18"/>
        </w:rPr>
        <w:t xml:space="preserve">Stand: 02.07.2019 (konsolidierte Textfassung, kein amtliches Inkrafttretensdatum)</w:t>
      </w:r>
    </w:p>
    <w:p>
      <w:r>
        <w:t xml:space="preserve">(1) Die Haftung kann auf die in den §§ 5e bis 5k bezeichneten Haftungshöchstbeträge beschränkt werden.</w:t>
      </w:r>
    </w:p>
    <w:p>
      <w:r>
        <w:t xml:space="preserve">(2) Die Haftungsbeschränkung kann bewirkt werden durch die Errichtung eines Fonds nach der Schiffahrtsrechtlichen Verteilungsordnung oder durch die Errichtung eines Fonds in einem anderen Vertragsstaat des Straßburger Übereinkommens vom 27. September 2012 über die Beschränkung der Haftung in der Binnenschifffahrt (CLNI 2012) (BGBl. 2016 II S. 738, 739).</w:t>
      </w:r>
    </w:p>
    <w:p>
      <w:r>
        <w:t xml:space="preserve">(3) Die Beschränkung der Haftung kann auch ohne Errichtung eines Fonds im Wege der Einrede mit Wirkung für Ansprüche nur gegen denjenigen, der sie erhebt, geltend gemacht werden. In diesem Falle sind die §§ 15, 23 Abs. 1, 3 Satz 1, 3 und 4 in Verbindung mit § 46 Abs. 1 und 2 Satz 1 und 2, § 26 Abs. 4 bis 6 der Schiffahrtsrechtlichen Verteilungsordnung entsprechend anzuwenden; § 305a der Zivilprozeßordnung bleibt unberührt.</w:t>
      </w:r>
    </w:p>
    <w:p>
      <w:r>
        <w:rPr>
          <w:color w:val="555555"/>
          <w:sz w:val="17"/>
        </w:rPr>
        <w:t xml:space="preserve">Zitiervorschlag: § 5d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