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 BinSchPRG</w:t>
      </w:r>
    </w:p>
    <w:p>
      <w:r>
        <w:rPr>
          <w:color w:val="555555"/>
          <w:sz w:val="18"/>
        </w:rPr>
        <w:t xml:space="preserve">Binnenschiffahrtsgesetz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Schiffseigner ist für den Schaden verantwortlich, den eine Person der Schiffsbesatzung oder ein an Bord tätiger Lotse einem Dritten in Ausführung von Dienstverrichtungen schuldhaft zufügt.</w:t>
      </w:r>
    </w:p>
    <w:p>
      <w:r>
        <w:t xml:space="preserve">(2) Zur Schiffsbesatzung gehören der Schiffer, die Schiffsmannschaft (§ 21) und alle übrigen auf dem Schiff angestellten Personen.</w:t>
      </w:r>
    </w:p>
    <w:p>
      <w:r>
        <w:rPr>
          <w:color w:val="555555"/>
          <w:sz w:val="17"/>
        </w:rPr>
        <w:t xml:space="preserve">Zitiervorschlag: § 3 BinSchPRG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https://recht.nulegal.eu/gesetze/BinSchPRG/3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