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w:t>
      </w:r>
    </w:p>
    <w:p>
      <w:r>
        <w:t xml:space="preserve">(2) Nach Antritt der Reise ist der Schiffsmann verpflichtet, bis zur Beendigung der Reise und zur Entlöschung des Schiffes im Dienst zu bleiben, es sei denn, daß ein den sofortigen Austritt rechtfertigender Grund vorhanden ist.</w:t>
      </w:r>
    </w:p>
    <w:p>
      <w:r>
        <w:t xml:space="preserve">(3) Wird das Dienstverhältnis vor der Ankunft des Schiffes am Bestimmungsorte während der Reise aufgehoben, so hat der Schiffsmann Anspruch auf die Kosten der Rückreise nach dem Orte, an welchem er in Dienst getreten ist. Diese Bestimmung findet keine Anwendung, wenn der Schiffsmann sich einer Handlung schuldig gemacht hat, welche geeignet ist, seine sofortige Entlassung zu rechtfertigen.</w:t>
      </w:r>
    </w:p>
    <w:p>
      <w:r>
        <w:t xml:space="preserve">(4) Ist ein die sofortige Entlassung rechtfertigender Grund nicht vorhanden, so kann der Schiffsmann zwar jederzeit seines Dienstes enthoben werden, jedoch unbeschadet seiner Entschädigungsansprüche für die Zeit bis zum Ende der vertragsmäßigen Dauer des Dienstverhältnisses oder bis zum Ablaufe der Kündigungsfrist.</w:t>
      </w:r>
    </w:p>
    <w:p>
      <w:r>
        <w:rPr>
          <w:color w:val="555555"/>
          <w:sz w:val="17"/>
        </w:rPr>
        <w:t xml:space="preserve">Zitiervorschlag: § 25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