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BinSchPRG</w:t>
      </w:r>
    </w:p>
    <w:p>
      <w:r>
        <w:rPr>
          <w:color w:val="555555"/>
          <w:sz w:val="18"/>
        </w:rPr>
        <w:t xml:space="preserve">Binnenschiffahrtsgesetz</w:t>
      </w:r>
    </w:p>
    <w:p>
      <w:r>
        <w:rPr>
          <w:color w:val="555555"/>
          <w:sz w:val="18"/>
        </w:rPr>
        <w:t xml:space="preserve">Stand: 10.06.2019 (konsolidierte Textfassung, kein amtliches Inkrafttretensdatum)</w:t>
      </w:r>
    </w:p>
    <w:p>
      <w:r>
        <w:t xml:space="preserve">(1) Wer ein ihm nicht gehöriges Schiff zur Binnenschiffahrt verwendet und es entweder selbst führt oder die Führung einem Schiffer anvertraut, wird Dritten gegenüber als Schiffseigner im Sinne dieses Gesetzes angesehen.</w:t>
      </w:r>
    </w:p>
    <w:p>
      <w:r>
        <w:t xml:space="preserve">(2) Der Eigentümer kann denjenigen, welcher aus der Verwendung des Schiffes einen Anspruch als Schiffsgläubiger (§§ 102 bis 115) herleitet, an der Durchführung des Anspruchs nicht hindern, sofern er nicht beweist, daß die Verwendung ihm gegenüber eine widerrechtliche und der Gläubiger nicht in gutem Glauben war.</w:t>
      </w:r>
    </w:p>
    <w:p>
      <w:r>
        <w:rPr>
          <w:color w:val="555555"/>
          <w:sz w:val="17"/>
        </w:rPr>
        <w:t xml:space="preserve">Zitiervorschlag: § 2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