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Durch ein Rechtsgeschäft, welches der Schiffer in seiner Eigenschaft als Führer des Schiffes, sei es mit, sei es ohne Bezeichnung des Schiffseigners innerhalb seiner gesetzlichen Befugnisse geschlossen hat, wird der Schiffseigner dem Dritten gegenüber berechtigt und die Haftung des Schiffseigners begründet.</w:t>
      </w:r>
    </w:p>
    <w:p>
      <w:r>
        <w:t xml:space="preserve">(2) Der Schiffer selbst wird dem Dritten durch das Rechtsgeschäft nicht verpflichtet, es sei denn, daß er dessen Erfüllung gewährleistet oder seine Befugnisse überschritten hat.</w:t>
      </w:r>
    </w:p>
    <w:p>
      <w:r>
        <w:rPr>
          <w:color w:val="555555"/>
          <w:sz w:val="17"/>
        </w:rPr>
        <w:t xml:space="preserve">Zitiervorschlag: § 19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