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Rechtsgeschäfte, welche der Schiffer eingeht, während das Schiff sich an einem der in § 15 Abs. 1 bezeichneten Orte befindet, sind für den Schiffseigner nur dann verbindlich, wenn der Schiffer auf Grund einer Vollmacht gehandelt hat, oder wenn ein anderer besonderer Verpflichtungsgrund vorhanden ist.</w:t>
      </w:r>
    </w:p>
    <w:p>
      <w:r>
        <w:t xml:space="preserve">(2) Zur Ausstellung von Ladescheinen ist der Schiffer ohne Unterschied des Ortes befugt.</w:t>
      </w:r>
    </w:p>
    <w:p>
      <w:r>
        <w:rPr>
          <w:color w:val="555555"/>
          <w:sz w:val="17"/>
        </w:rPr>
        <w:t xml:space="preserve">Zitiervorschlag: § 16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