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132 BinSchPRG</w:t>
      </w:r>
    </w:p>
    <w:p>
      <w:r>
        <w:rPr>
          <w:color w:val="555555"/>
          <w:sz w:val="18"/>
        </w:rPr>
        <w:t xml:space="preserve">Binnenschiffahrtsgesetz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132 BinSchPRG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https://recht.nulegal.eu/gesetze/BinSchPRG/132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