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131 BinSchPRG</w:t>
      </w:r>
    </w:p>
    <w:p>
      <w:r>
        <w:rPr>
          <w:color w:val="555555"/>
          <w:sz w:val="18"/>
        </w:rPr>
        <w:t xml:space="preserve">Binnenschiffahrtsgesetz</w:t>
      </w:r>
    </w:p>
    <w:p>
      <w:r>
        <w:rPr>
          <w:color w:val="555555"/>
          <w:sz w:val="18"/>
        </w:rPr>
        <w:t xml:space="preserve">Stand: 02.07.2019 (konsolidierte Textfassung, kein amtliches Inkrafttretensdatum)</w:t>
      </w:r>
    </w:p>
    <w:p>
      <w:r>
        <w:t xml:space="preserve">(1) Bei Schiffen, welche nur zu Fahrten innerhalb desselben Ortes bestimmt sind, sind die §§ 15 bis 19 auf das Rechtsverhältnis des Schiffes nicht anzuwenden.</w:t>
      </w:r>
    </w:p>
    <w:p>
      <w:r>
        <w:t xml:space="preserve">(2) Die Landesregierungen werden ermächtigt, durch Rechtsverordnung zu bestimmen, daß Fahrten zwischen benachbarten Orten der Fahrt innerhalb desselben Ortes im Sinne des ersten Absatzes gleichstehen.</w:t>
      </w:r>
    </w:p>
    <w:p>
      <w:r>
        <w:t xml:space="preserve">(3) Auf Schiffahrtsbetriebe, welche im Anschluß an den Eisenbahnverkehr geführt werden und der staatlichen Eisenbahnaufsichtsbehörde unterstellt sind, finden die vorhergehenden Bestimmungen dieses Gesetzes mit Ausnahme der §§ 4 bis 5n, 92 bis 92f, 118 keine Anwendung.</w:t>
      </w:r>
    </w:p>
    <w:p>
      <w:r>
        <w:t xml:space="preserve">(4) Das gleiche gilt bezüglich des Betriebs von Fähranstalten, soweit nicht der Betrieb mittels frei schwimmender Schiffe stattfindet.</w:t>
      </w:r>
    </w:p>
    <w:p>
      <w:r>
        <w:rPr>
          <w:color w:val="555555"/>
          <w:sz w:val="17"/>
        </w:rPr>
        <w:t xml:space="preserve">Zitiervorschlag: § 131 BinSchPRG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https://recht.nulegal.eu/gesetze/BinSchPRG/131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