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 BinSchPRG</w:t>
      </w:r>
    </w:p>
    <w:p>
      <w:r>
        <w:rPr>
          <w:color w:val="555555"/>
          <w:sz w:val="18"/>
        </w:rPr>
        <w:t xml:space="preserve">Binnenschiffahrtsgesetz</w:t>
      </w:r>
    </w:p>
    <w:p>
      <w:r>
        <w:rPr>
          <w:color w:val="555555"/>
          <w:sz w:val="18"/>
        </w:rPr>
        <w:t xml:space="preserve">Stand: 10.06.2019 (konsolidierte Textfassung, kein amtliches Inkrafttretensdatum)</w:t>
      </w:r>
    </w:p>
    <w:p>
      <w:r>
        <w:t xml:space="preserve">(1) Ersatzansprüche aus dem Zusammenstoß von Schiffen (§§ 92 bis 92f) verjähren mit Ablauf von zwei Jahren seit dem Ereignis.</w:t>
      </w:r>
    </w:p>
    <w:p>
      <w:r>
        <w:t xml:space="preserve">(2) Ausgleichsansprüche unter mehreren für einen Schaden aus einem Zusammenstoß als Gesamtschuldner haftenden Schiffseignern verjähren mit dem Ablauf eines Jahres. Die Verjährung beginnt mit dem Tag der Zahlung, auf Grund deren die Ausgleichung verlangt wird, oder, wenn vorher eine gerichtliche Entscheidung über die Höhe der gesamtschuldnerischen Haftung rechtskräftig geworden ist, mit dem Tag der Rechtskraft der Entscheidung. Die Verjährung von Ansprüchen, die einem Gesamtschuldner wegen des Ausfalls, den er bei der Ausgleichung durch die Zahlungsunfähigkeit eines anderen Gesamtschuldners erleidet, gegen die übrigen Gesamtschuldner zustehen, beginnt jedoch nicht vor dem Tag, an dem der Berechtigte Kenntnis von der Zahlungsunfähigkeit erlangt.</w:t>
      </w:r>
    </w:p>
    <w:p>
      <w:r>
        <w:rPr>
          <w:color w:val="555555"/>
          <w:sz w:val="17"/>
        </w:rPr>
        <w:t xml:space="preserve">Zitiervorschlag: § 118 BinSchPRG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https://recht.nulegal.eu/gesetze/BinSchPRG/118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