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wegen der Beiträge zur großen Haverei auf den Ladungsgütern haftenden Pfandrechte gehen den in § 442 des Handelsgesetzbuchs bezeichneten Pfandrechten vor. Unter den ersteren Pfandrechten hat das später entstandene vor dem früher entstandenen den Vorzug; die gleichzeitig entstandenen sind gleichberechtigt; Forderungen, welche aus Anlaß desselben Notfalls entstanden sind, gelten als gleichzeitig entstanden.</w:t>
      </w:r>
    </w:p>
    <w:p>
      <w:r>
        <w:t xml:space="preserve">(2) In den Fällen der großen Haverei und des Verlusts oder der Beschädigung durch rechtswidrige Handlungen finden die Vorschriften des § 115 entsprechende Anwendung.</w:t>
      </w:r>
    </w:p>
    <w:p>
      <w:r>
        <w:rPr>
          <w:color w:val="555555"/>
          <w:sz w:val="17"/>
        </w:rPr>
        <w:t xml:space="preserve">Zitiervorschlag: § 116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https://recht.nulegal.eu/gesetze/BinSchPRG/116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