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Das Pfandrecht erstreckt sich auch auf einen Ersatzanspruch, der dem Schiffseigner wegen des Verlustes oder der Beschädigung des Schiffes gegen einen Dritten zusteht. Das gleiche gilt hinsichtlich der Vergütung für Schäden an dem Schiff in Fällen der großen Haverei.</w:t>
      </w:r>
    </w:p>
    <w:p>
      <w:r>
        <w:t xml:space="preserve">(2) Das Pfandrecht erstreckt sich nicht auf eine Forderung aus einer Versicherung, die der Schiffseigner für das Schiff genommen hat.</w:t>
      </w:r>
    </w:p>
    <w:p>
      <w:r>
        <w:t xml:space="preserve">(3) Soweit der Schiffseigner die Entschädigung oder Vergütung eingezogen hat, haftet er in Höhe des eingezogenen Betrages den Schiffsgläubigern persönlich in gleicher Weise wie bei Einziehung eines Erlöses (§ 113).</w:t>
      </w:r>
    </w:p>
    <w:p>
      <w:r>
        <w:rPr>
          <w:color w:val="555555"/>
          <w:sz w:val="17"/>
        </w:rPr>
        <w:t xml:space="preserve">Zitiervorschlag: § 115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