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Das Pfandrecht des Schiffsgläubigers hat den Vorrang vor den sonstigen Pfandrechten am Schiff, für die in § 102 unter Nummer 4 bis 6 aufgeführten Forderungen jedoch nur insoweit, als jene Pfandrechte nicht früher entstanden sind.</w:t>
      </w:r>
    </w:p>
    <w:p>
      <w:r>
        <w:t xml:space="preserve">(2) Soweit hiernach die sonstigen Pfandrechte an dem Schiff der Forderung eines Schiffsgläubigers vorgehen, haben sie zugleich den Vorrang vor den dieser Forderung nachstehenden Forderungen anderer Schiffsgläubiger.</w:t>
      </w:r>
    </w:p>
    <w:p>
      <w:r>
        <w:t xml:space="preserve">(3) Erleidet ein Schiffsgläubiger, welchem der Schiffseigner nur mit dem Schiff haftet, dadurch einen Ausfall an seiner Forderung, daß seinem Pfandrecht an dem Schiffe das Pfandrecht eines Gläubigers vorgeht, der nicht Schiffsgläubiger ist, so wird der Schiffseigner in Höhe dieses Ausfalles persönlich verpflichtet.</w:t>
      </w:r>
    </w:p>
    <w:p>
      <w:r>
        <w:rPr>
          <w:color w:val="555555"/>
          <w:sz w:val="17"/>
        </w:rPr>
        <w:t xml:space="preserve">Zitiervorschlag: § 109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