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Pfandrechte für die unter derselben Nummer genannten Forderungen haben, soweit sich aus den Absätzen 2 und 3 nicht ein anderes ergibt, ohne Rücksicht auf den Zeitpunkt ihrer Entstehung den gleichen Rang.</w:t>
      </w:r>
    </w:p>
    <w:p>
      <w:r>
        <w:t xml:space="preserve">(2) Von den Pfandrechten für die in § 102 Nr. 3 aufgeführten Forderungen geht das für die später entstandene Forderung dem für die früher entstandene Forderung vor; Pfandrechte wegen gleichzeitig entstandener Forderungen sind gleichberechtigt. Forderungen, welche aus Anlaß eines und desselben Notfalles entstanden sind, gelten als gleichzeitig entstanden.</w:t>
      </w:r>
    </w:p>
    <w:p>
      <w:r>
        <w:t xml:space="preserve">(3) Pfandrechte für die in § 102 Nr. 4 aufgeführten Forderungen wegen Personenschäden gehen Pfandrechten für die unter derselben Nummer aufgeführten Forderungen wegen Sachschäden vor.</w:t>
      </w:r>
    </w:p>
    <w:p>
      <w:r>
        <w:rPr>
          <w:color w:val="555555"/>
          <w:sz w:val="17"/>
        </w:rPr>
        <w:t xml:space="preserve">Zitiervorschlag: § 108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