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105 BinSchPRG</w:t>
      </w:r>
    </w:p>
    <w:p>
      <w:r>
        <w:rPr>
          <w:color w:val="555555"/>
          <w:sz w:val="18"/>
        </w:rPr>
        <w:t xml:space="preserve">Binnenschiffahrtsgesetz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Das einem Schiffsgläubiger zustehende Pfandrecht gilt in gleichem Maße für Kapital, Zinsen und Kosten.</w:t>
      </w:r>
    </w:p>
    <w:p>
      <w:r>
        <w:rPr>
          <w:color w:val="555555"/>
          <w:sz w:val="17"/>
        </w:rPr>
        <w:t xml:space="preserve">Zitiervorschlag: § 105 BinSchPRG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https://recht.nulegal.eu/gesetze/BinSchPRG/105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