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104 BinSchPRG</w:t>
      </w:r>
    </w:p>
    <w:p>
      <w:r>
        <w:rPr>
          <w:color w:val="555555"/>
          <w:sz w:val="18"/>
        </w:rPr>
        <w:t xml:space="preserve">Binnenschiffahrtsgesetz</w:t>
      </w:r>
    </w:p>
    <w:p>
      <w:r>
        <w:rPr>
          <w:color w:val="555555"/>
          <w:sz w:val="18"/>
        </w:rPr>
        <w:t xml:space="preserve">Stand: 10.06.2019 (konsolidierte Textfassung, kein amtliches Inkrafttretensdatum)</w:t>
      </w:r>
    </w:p>
    <w:p>
      <w:r>
        <w:t xml:space="preserve">Sind mehrere Schiffe in einem Schleppzug, einem Schubverband oder einem Verband von fest gekoppelten Schiffen mit eigener Antriebskraft vereinigt, so erstreckt sich das Pfandrecht des Schiffsgläubigers nur auf dasjenige Schiff, welches den Schaden verursacht hat.</w:t>
      </w:r>
    </w:p>
    <w:p>
      <w:r>
        <w:rPr>
          <w:color w:val="555555"/>
          <w:sz w:val="17"/>
        </w:rPr>
        <w:t xml:space="preserve">Zitiervorschlag: § 104 BinSchPRG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https://recht.nulegal.eu/gesetze/BinSchPRG/104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