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103 BinSchPRG</w:t>
      </w:r>
    </w:p>
    <w:p>
      <w:r>
        <w:rPr>
          <w:color w:val="555555"/>
          <w:sz w:val="18"/>
        </w:rPr>
        <w:t xml:space="preserve">Binnenschiffahrtsgesetz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Schiffsgläubiger haben an dem Schiffe nebst Zubehör ein Pfandrecht.</w:t>
      </w:r>
    </w:p>
    <w:p>
      <w:r>
        <w:t xml:space="preserve">(2) Das Pfandrecht ist gegen jeden dritten Besitzer des Schiffes verfolgbar.</w:t>
      </w:r>
    </w:p>
    <w:p>
      <w:r>
        <w:t xml:space="preserve">(3) Die Befriedigung aus dem Pfande erfolgt auf Grund eines vollstreckbaren Titels nach den Vorschriften über die Zwangsvollstreckung.</w:t>
      </w:r>
    </w:p>
    <w:p>
      <w:r>
        <w:rPr>
          <w:color w:val="555555"/>
          <w:sz w:val="17"/>
        </w:rPr>
        <w:t xml:space="preserve">Zitiervorschlag: § 103 BinSchPRG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https://recht.nulegal.eu/gesetze/BinSchPRG/103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