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BinSchLV — Dauer der Lade- und Löschzeit</w:t>
      </w:r>
    </w:p>
    <w:p>
      <w:r>
        <w:rPr>
          <w:color w:val="555555"/>
          <w:sz w:val="18"/>
        </w:rPr>
        <w:t xml:space="preserve">Lade- und Löschzeitenverordnung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gesamte Lade- und Löschzeit beträgt in der Tankschifffahrt bei einer für ein Schiff bestimmten Sendung mit einem Gewicht</w:t>
      </w:r>
    </w:p>
    <w:p>
      <w:pPr>
        <w:ind w:left="420"/>
      </w:pPr>
      <w:r>
        <w:t xml:space="preserve">bis zu 1 100 Tonnen 24 Stunden,</w:t>
      </w:r>
    </w:p>
    <w:p>
      <w:pPr>
        <w:ind w:left="420"/>
      </w:pPr>
      <w:r>
        <w:t xml:space="preserve">bis zu 1 500 Tonnen 26 Stunden,</w:t>
      </w:r>
    </w:p>
    <w:p>
      <w:pPr>
        <w:ind w:left="420"/>
      </w:pPr>
      <w:r>
        <w:t xml:space="preserve">bis zu 2 000 Tonnen 28 Stunden, wenn es sich bei dem Schiff um ein Tankschiff in Doppelhüllenbauweise handelt, sonst 30 Stunden.</w:t>
      </w:r>
    </w:p>
    <w:p>
      <w:r>
        <w:t xml:space="preserve">Bei einer Sendung über 2 000 Tonnen erhöht sich die Lade- und Löschzeit um sechs Stunden je weitere angefangene 1 000 Tonnen. Bei einer Sendung über 5 000 Tonnen erhöht sich die Lade- und Löschzeit um vier Stunden je weitere angefangene 1 000 Tonnen. Die erforderliche Aufheizzeit wird auf die Lade- und Löschzeit angerechnet. Als ein Schiff im Sinne von Satz 1 ist auch ein Schub- oder Koppelverband anzusehen.</w:t>
      </w:r>
    </w:p>
    <w:p>
      <w:r>
        <w:t xml:space="preserve">(2) Beträgt die Mindestpumpenkapazität des Tankschiffs weniger als 200 Kubikmeter pro Stunde, so erhöht sich die nach Absatz 1 anzusetzende Lade- und Löschzeit um die Zeit, die der effektiven Stundenleistung während des Lade- und Löschvorgangs entspricht.</w:t>
      </w:r>
    </w:p>
    <w:p>
      <w:r>
        <w:t xml:space="preserve">(3) Bei der Berechnung der Lade- und Löschzeit ist die für das Laden und Löschen tatsächlich benötigte Zeit getrennt festzustellen; angefangene Stunden, die sich bei der Ermittlung der tatsächlich benötigten Ladezeit und der tatsächlich benötigten Löschzeit ergeben, sind auf volle Stunden aufzurunden. Nicht in Ansatz kommen folgende Zeiten:</w:t>
      </w:r>
    </w:p>
    <w:p>
      <w:pPr>
        <w:ind w:left="420"/>
      </w:pPr>
      <w:r>
        <w:t xml:space="preserve">1. im Falle des Ladens Sonntage und staatlich anerkannte allgemeine Feiertage an der Ladestelle, im Falle des Löschens Sonntage und staatlich anerkannte allgemeine Feiertage an der Löschstelle,</w:t>
      </w:r>
    </w:p>
    <w:p>
      <w:pPr>
        <w:ind w:left="420"/>
      </w:pPr>
      <w:r>
        <w:t xml:space="preserve">2. an Werktagen, die einem Sonntag oder einem gesetzlichen Feiertag an der Lade- oder Löschstelle nachfolgen, die Zeit zwischen 0.00 Uhr und 7.00 Uhr, an einem Samstag und am 24. und 31. Dezember zusätzlich die Zeit zwischen 13.00 Uhr und 24.00 Uhr,</w:t>
      </w:r>
    </w:p>
    <w:p>
      <w:pPr>
        <w:ind w:left="420"/>
      </w:pPr>
      <w:r>
        <w:t xml:space="preserve">3. die Zeit, in der aus Gründen, die dem Risikobereich des Frachtführers zuzurechnen sind, das Verladen oder Entladen jeder Art von Gut unmöglich ist.</w:t>
      </w:r>
    </w:p>
    <w:p>
      <w:r>
        <w:t xml:space="preserve">Satz 2 Nummer 1 und 2 ist nicht anzuwenden, soweit der Frachtführer während der darin genannten Zeiten vereinbarungsgemäß oder auf Weisung der Meldestelle oder des Absenders lade- oder löschbereit ist.</w:t>
      </w:r>
    </w:p>
    <w:p>
      <w:r>
        <w:rPr>
          <w:color w:val="555555"/>
          <w:sz w:val="17"/>
        </w:rPr>
        <w:t xml:space="preserve">Zitiervorschlag: § 6 BinSchLV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https://recht.nulegal.eu/gesetze/BinSchLV/6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