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BinSchLV — Dauer der Ladezeit</w:t>
      </w:r>
    </w:p>
    <w:p>
      <w:r>
        <w:rPr>
          <w:color w:val="555555"/>
          <w:sz w:val="18"/>
        </w:rPr>
        <w:t xml:space="preserve">Lade- und Löschzeitenverordnung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Ladezeit beträgt eine Stunde für jeweils 45 Tonnen Rohgewicht der für ein Schiff bestimmten Sendung. Als ein Schiff im Sinne von Satz 1 ist auch ein Schub- oder Koppelverband anzusehen.</w:t>
      </w:r>
    </w:p>
    <w:p>
      <w:r>
        <w:t xml:space="preserve">(2) Bei der Berechnung der Ladezeit kommen folgende Zeiten nicht in Ansatz:</w:t>
      </w:r>
    </w:p>
    <w:p>
      <w:pPr>
        <w:ind w:left="420"/>
      </w:pPr>
      <w:r>
        <w:t xml:space="preserve">1. Sonntage und staatlich anerkannte allgemeine Feiertage an der Ladestelle,</w:t>
      </w:r>
    </w:p>
    <w:p>
      <w:pPr>
        <w:ind w:left="420"/>
      </w:pPr>
      <w:r>
        <w:t xml:space="preserve">2. an Werktagen die Zeit zwischen 20.00 Uhr und 6.00 Uhr,</w:t>
      </w:r>
    </w:p>
    <w:p>
      <w:pPr>
        <w:ind w:left="420"/>
      </w:pPr>
      <w:r>
        <w:t xml:space="preserve">3. die Zeit, in der aus Gründen, die dem Risikobereich des Frachtführers zuzurechnen sind, das Verladen jeder Art von Gut unmöglich ist.</w:t>
      </w:r>
    </w:p>
    <w:p>
      <w:r>
        <w:t xml:space="preserve">(3) Absatz 2 Nummer 1 und 2 ist nicht anzuwenden, soweit der Frachtführer während der darin genannten Zeiten vereinbarungsgemäß oder auf Weisung des Absenders oder der Meldestelle ladebereit ist.</w:t>
      </w:r>
    </w:p>
    <w:p>
      <w:r>
        <w:rPr>
          <w:color w:val="555555"/>
          <w:sz w:val="17"/>
        </w:rPr>
        <w:t xml:space="preserve">Zitiervorschlag: § 2 BinSchLV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https://recht.nulegal.eu/gesetze/BinSchLV/2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