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BinSchLV — Beginn der Ladezeit</w:t>
      </w:r>
    </w:p>
    <w:p>
      <w:r>
        <w:rPr>
          <w:color w:val="555555"/>
          <w:sz w:val="18"/>
        </w:rPr>
        <w:t xml:space="preserve">Lade- und Löschzeitenverordnung</w:t>
      </w:r>
    </w:p>
    <w:p>
      <w:r>
        <w:rPr>
          <w:color w:val="555555"/>
          <w:sz w:val="18"/>
        </w:rPr>
        <w:t xml:space="preserve">Stand: 10.06.2019 (konsolidierte Textfassung, kein amtliches Inkrafttretensdatum)</w:t>
      </w:r>
    </w:p>
    <w:p>
      <w:r>
        <w:t xml:space="preserve">(1) Hat der Frachtvertrag die Beförderung von anderem als flüssigem oder gasförmigem Gut zum Gegenstand, so beginnt die Ladezeit nach Ablauf des Tages, an dem der Frachtführer die Ladebereitschaft dem Absender oder der vereinbarten Meldestelle anzeigt.</w:t>
      </w:r>
    </w:p>
    <w:p>
      <w:r>
        <w:t xml:space="preserve">(2) Haben die Parteien vereinbart, dass der Zeitpunkt der Ladebereitschaft voranzumelden ist, so beginnt die Ladezeit abweichend von Absatz 1 zwei Stunden nach dem in der Voranmeldung genannten Zeitpunkt. Voraussetzung ist jedoch, dass die Voranmeldung mindestens acht Stunden vor dem angemeldeten Zeitpunkt dem Absender oder der vereinbarten Meldestelle zugeht und der Frachtführer zum angemeldeten Zeitpunkt ladebereit ist.</w:t>
      </w:r>
    </w:p>
    <w:p>
      <w:r>
        <w:t xml:space="preserve">(3) Wird an dem Tag, an dem der Frachtführer seine Ladebereitschaft anzeigt, oder wird bei einer Voranmeldung noch vor Ablauf der Frist von zwei Stunden nach dem angemeldeten Zeitpunkt der Ladebereitschaft geladen, so beginnt die Ladezeit mit dem Beginn des Ladens.</w:t>
      </w:r>
    </w:p>
    <w:p>
      <w:r>
        <w:rPr>
          <w:color w:val="555555"/>
          <w:sz w:val="17"/>
        </w:rPr>
        <w:t xml:space="preserve">Zitiervorschlag: § 1 BinSchLV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https://recht.nulegal.eu/gesetze/BinSchLV/1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