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BinSchGerG</w:t>
      </w:r>
    </w:p>
    <w:p>
      <w:r>
        <w:rPr>
          <w:color w:val="555555"/>
          <w:sz w:val="18"/>
        </w:rPr>
        <w:t xml:space="preserve">Gesetz über das gerichtliche Verfahren in Binnenschiffahrtssachen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bürgerlichen Rechtsstreitigkeiten ist gegen die Urteile der Schiffahrtsgerichte die Berufung ohne Rücksicht auf den Wert des Beschwerdegegenstandes zulässig.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9 BinSchGerG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https://recht.nulegal.eu/gesetze/BinSchGerG/9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