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BinSchGerG</w:t>
      </w:r>
    </w:p>
    <w:p>
      <w:r>
        <w:rPr>
          <w:color w:val="555555"/>
          <w:sz w:val="18"/>
        </w:rPr>
        <w:t xml:space="preserve">Gesetz über das gerichtliche Verfahren in Binnenschiffahrtssachen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Im Verfahren vor den Schiffahrtsgerichten ist § 495a der Zivilprozeßordnung nicht anzuwenden. Die Anträge der Parteien in Binnenschiffahrtssachen sollen als solche gekennzeichnet werden.</w:t>
      </w:r>
    </w:p>
    <w:p>
      <w:r>
        <w:rPr>
          <w:color w:val="555555"/>
          <w:sz w:val="17"/>
        </w:rPr>
        <w:t xml:space="preserve">Zitiervorschlag: § 8 BinSchGerG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https://recht.nulegal.eu/gesetze/BinSchGerG/8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