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BinSchGerG</w:t>
      </w:r>
    </w:p>
    <w:p>
      <w:r>
        <w:rPr>
          <w:color w:val="555555"/>
          <w:sz w:val="18"/>
        </w:rPr>
        <w:t xml:space="preserve">Gesetz über das gerichtliche Verfahren in Binnenschiffahrtssachen</w:t>
      </w:r>
    </w:p>
    <w:p>
      <w:r>
        <w:rPr>
          <w:color w:val="555555"/>
          <w:sz w:val="18"/>
        </w:rPr>
        <w:t xml:space="preserve">Stand: 10.06.2019 (konsolidierte Textfassung, kein amtliches Inkrafttretensdatum)</w:t>
      </w:r>
    </w:p>
    <w:p>
      <w:r>
        <w:t xml:space="preserve">Die Geschäfte der Staatsanwaltschaft werden in Binnenschiffahrtssachen von der Staatsanwaltschaft bei dem Schiffahrtsgericht oder bei dem ihm übergeordneten Landgericht wahrgenommen. Die Anträge und Verfügungen in Binnenschiffahrtssachen sollen als solche gekennzeichnet werden.</w:t>
      </w:r>
    </w:p>
    <w:p>
      <w:r>
        <w:rPr>
          <w:color w:val="555555"/>
          <w:sz w:val="17"/>
        </w:rPr>
        <w:t xml:space="preserve">Zitiervorschlag: § 7 BinSchGerG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https://recht.nulegal.eu/gesetze/BinSchGerG/7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