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BinSchGerG</w:t>
      </w:r>
    </w:p>
    <w:p>
      <w:r>
        <w:rPr>
          <w:color w:val="555555"/>
          <w:sz w:val="18"/>
        </w:rPr>
        <w:t xml:space="preserve">Gesetz über das gerichtliche Verfahren in Binnenschiffahrtssachen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für bürgerliche Rechtsstreitigkeiten die Zuständigkeit eines Gerichts vereinbart, das nicht ein Schiffahrtsgericht ist, so sind die Vorschriften dieses Gesetzes nicht anzuwenden.</w:t>
      </w:r>
    </w:p>
    <w:p>
      <w:r>
        <w:rPr>
          <w:color w:val="555555"/>
          <w:sz w:val="17"/>
        </w:rPr>
        <w:t xml:space="preserve">Zitiervorschlag: § 6 BinSchGerG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https://recht.nulegal.eu/gesetze/BinSchGerG/6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