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BinSchGerG</w:t>
      </w:r>
    </w:p>
    <w:p>
      <w:r>
        <w:rPr>
          <w:color w:val="555555"/>
          <w:sz w:val="18"/>
        </w:rPr>
        <w:t xml:space="preserve">Gesetz über das gerichtliche Verfahren in Binnenschiffahrtssachen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für Binnenschiffahrtssachen zuständigen Amtsgerichte sind Schiffahrtsgerichte im Sinne dieses Gesetzes. Sie führen bei der Verhandlung und Entscheidung von Binnenschiffahrtssachen die Bezeichnung "Schiffahrtsgericht".</w:t>
      </w:r>
    </w:p>
    <w:p>
      <w:r>
        <w:t xml:space="preserve">(2) Ist ein Amtsgericht mit mehreren Richtern besetzt, so sind bei der Geschäftsverteilung die Geschäfte des Schiffahrtsgerichts einem oder einzelnen von ihnen zu übertragen.</w:t>
      </w:r>
    </w:p>
    <w:p>
      <w:r>
        <w:rPr>
          <w:color w:val="555555"/>
          <w:sz w:val="17"/>
        </w:rPr>
        <w:t xml:space="preserve">Zitiervorschlag: § 5 BinSchGerG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https://recht.nulegal.eu/gesetze/BinSchGerG/5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