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 BinSchGerG</w:t>
      </w:r>
    </w:p>
    <w:p>
      <w:r>
        <w:rPr>
          <w:color w:val="555555"/>
          <w:sz w:val="18"/>
        </w:rPr>
        <w:t xml:space="preserve">Gesetz über das gerichtliche Verfahren in Binnenschiffahrtssachen</w:t>
      </w:r>
    </w:p>
    <w:p>
      <w:r>
        <w:rPr>
          <w:color w:val="555555"/>
          <w:sz w:val="18"/>
        </w:rPr>
        <w:t xml:space="preserve">Stand: 10.06.2019 (konsolidierte Textfassung, kein amtliches Inkrafttretensdatum)</w:t>
      </w:r>
    </w:p>
    <w:p>
      <w:r>
        <w:t xml:space="preserve">(1) Die Landesregierungen sind ermächtigt, die Verhandlung und Entscheidung von Binnenschiffahrtssachen einem Amtsgericht als Schiffahrtsgericht oder einem Oberlandesgericht als Schiffahrtsobergericht für bestimmte Binnengewässer oder bestimmte Abschnitte von Binnengewässern aus dem Bezirk mehrerer Gerichte zuzuweisen, sofern dies der sachlichen Förderung oder schnelleren Erledigung der Verfahren dient. Die Zuweisung kann für Zivil- sowie Straf- und Bußgeldsachen unterschiedlich erfolgen. Die Landesregierungen könnten diese Ermächtigungen auf die Landesjustizverwaltungen übertragen.</w:t>
      </w:r>
    </w:p>
    <w:p>
      <w:r>
        <w:t xml:space="preserve">(2) Die Bezirke der nach Absatz 1 bestimmten Gerichte erstrecken sich auf die Bezirke der anderen Gerichte.</w:t>
      </w:r>
    </w:p>
    <w:p>
      <w:r>
        <w:t xml:space="preserve">(3) Die Länder können vereinbaren, daß die Verhandlung und Entscheidung von Binnenschiffahrtssachen eines Landes ganz oder teilweise den Gerichten eines anderen Landes zugewiesen werden.</w:t>
      </w:r>
    </w:p>
    <w:p>
      <w:r>
        <w:rPr>
          <w:color w:val="555555"/>
          <w:sz w:val="17"/>
        </w:rPr>
        <w:t xml:space="preserve">Zitiervorschlag: § 4 BinSchGerG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https://recht.nulegal.eu/gesetze/BinSchGerG/4</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