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Entscheidungen außerdeutscher Rheinschiffahrtsgerichte werden auf Grund einer von dem Rheinschiffahrtsobergericht Köln mit der Vollstreckungsklausel (§ 724 der Zivilprozeßordnung, § 451 Abs. 1 der Strafprozeßordnung) kostenfrei zu versehenden Ausfertigung vollstreckt.</w:t>
      </w:r>
    </w:p>
    <w:p>
      <w:r>
        <w:t xml:space="preserve">(2) Entscheidungen außerdeutscher Moselschiffahrtsgerichte werden auf Grund einer von dem Moselschiffahrtsobergericht mit der Vollstreckungsklausel (§ 724 der Zivilprozeßordnung, § 451 Abs. 1 der Strafprozeßordnung) kostenfrei zu versehenden Ausfertigung vollstreckt.</w:t>
      </w:r>
    </w:p>
    <w:p>
      <w:r>
        <w:rPr>
          <w:color w:val="555555"/>
          <w:sz w:val="17"/>
        </w:rPr>
        <w:t xml:space="preserve">Zitiervorschlag: § 21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