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18b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Verhandlung und Entscheidung von Moselschiffahrtssachen führt das Amtsgericht an Stelle der Bezeichnung "Schiffahrtsgericht" die Bezeichnung "Moselschiffahrtsgericht", das Oberlandesgericht an Stelle der Bezeichnung "Schiffahrtsobergericht" die Bezeichnung "Moselschiffahrtsobergericht".</w:t>
      </w:r>
    </w:p>
    <w:p>
      <w:r>
        <w:t xml:space="preserve">(2) Die Anträge und die Verfügungen der Staatsanwaltschaft in Moselschiffahrtssachen und die Anträge der Parteien in Moselschiffahrtssachen sollen als solche gekennzeichnet werden.</w:t>
      </w:r>
    </w:p>
    <w:p>
      <w:r>
        <w:rPr>
          <w:color w:val="555555"/>
          <w:sz w:val="17"/>
        </w:rPr>
        <w:t xml:space="preserve">Zitiervorschlag: § 18b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https://recht.nulegal.eu/gesetze/BinSchGerG/18b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18b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