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16 BinSchGerG</w:t>
      </w:r>
    </w:p>
    <w:p>
      <w:r>
        <w:rPr>
          <w:color w:val="555555"/>
          <w:sz w:val="18"/>
        </w:rPr>
        <w:t xml:space="preserve">Gesetz über das gerichtliche Verfahren in Binnenschiffahrtssachen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Entscheidung einer Binnenschiffahrtssache, die nicht Rheinschiffahrtssache ist, darf nicht mit der Entscheidung einer Rheinschiffahrtssache verbunden werden.</w:t>
      </w:r>
    </w:p>
    <w:p>
      <w:r>
        <w:rPr>
          <w:color w:val="555555"/>
          <w:sz w:val="17"/>
        </w:rPr>
        <w:t xml:space="preserve">Zitiervorschlag: § 16 BinSchGerG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https://recht.nulegal.eu/gesetze/BinSchGerG/16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16 BinSchGerG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